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59"/>
        <w:spacing w:after="0"/>
        <w:rPr>
          <w:sz w:val="20"/>
          <w:szCs w:val="20"/>
          <w:color w:val="auto"/>
        </w:rPr>
      </w:pPr>
      <w:r>
        <w:rPr>
          <w:rFonts w:ascii="Times New Roman" w:cs="Times New Roman" w:eastAsia="Times New Roman" w:hAnsi="Times New Roman"/>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7"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32"/>
          <w:szCs w:val="32"/>
          <w:b w:val="1"/>
          <w:bCs w:val="1"/>
          <w:color w:val="auto"/>
        </w:rPr>
        <w:t>SECURITIES AND EXCHANGE COMMISSION</w:t>
      </w:r>
    </w:p>
    <w:p>
      <w:pPr>
        <w:jc w:val="center"/>
        <w:ind w:right="-359"/>
        <w:spacing w:after="0"/>
        <w:rPr>
          <w:sz w:val="20"/>
          <w:szCs w:val="20"/>
          <w:color w:val="auto"/>
        </w:rPr>
      </w:pPr>
      <w:r>
        <w:rPr>
          <w:rFonts w:ascii="Times New Roman" w:cs="Times New Roman" w:eastAsia="Times New Roman" w:hAnsi="Times New Roman"/>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218440</wp:posOffset>
            </wp:positionV>
            <wp:extent cx="14744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07"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32"/>
          <w:szCs w:val="32"/>
          <w:b w:val="1"/>
          <w:bCs w:val="1"/>
          <w:color w:val="auto"/>
        </w:rPr>
        <w:t>FORM 6-K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250825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3" w:lineRule="exact"/>
        <w:rPr>
          <w:sz w:val="24"/>
          <w:szCs w:val="24"/>
          <w:color w:val="auto"/>
        </w:rPr>
      </w:pPr>
    </w:p>
    <w:p>
      <w:pPr>
        <w:jc w:val="center"/>
        <w:ind w:right="-339"/>
        <w:spacing w:after="0"/>
        <w:rPr>
          <w:sz w:val="20"/>
          <w:szCs w:val="20"/>
          <w:color w:val="auto"/>
        </w:rPr>
      </w:pPr>
      <w:r>
        <w:rPr>
          <w:rFonts w:ascii="Times New Roman" w:cs="Times New Roman" w:eastAsia="Times New Roman" w:hAnsi="Times New Roman"/>
          <w:sz w:val="22"/>
          <w:szCs w:val="22"/>
          <w:b w:val="1"/>
          <w:bCs w:val="1"/>
          <w:color w:val="auto"/>
        </w:rPr>
        <w:t>REPORT OF FOREIGN PRIVATE ISSUER</w:t>
      </w:r>
    </w:p>
    <w:p>
      <w:pPr>
        <w:spacing w:after="0" w:line="8"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22"/>
          <w:szCs w:val="22"/>
          <w:b w:val="1"/>
          <w:bCs w:val="1"/>
          <w:color w:val="auto"/>
        </w:rPr>
        <w:t>PURSUANT TO RULE 13a-16 OR 15d-16</w:t>
      </w:r>
    </w:p>
    <w:p>
      <w:pPr>
        <w:jc w:val="center"/>
        <w:ind w:right="-359"/>
        <w:spacing w:after="0"/>
        <w:rPr>
          <w:sz w:val="20"/>
          <w:szCs w:val="20"/>
          <w:color w:val="auto"/>
        </w:rPr>
      </w:pPr>
      <w:r>
        <w:rPr>
          <w:rFonts w:ascii="Times New Roman" w:cs="Times New Roman" w:eastAsia="Times New Roman" w:hAnsi="Times New Roman"/>
          <w:sz w:val="22"/>
          <w:szCs w:val="22"/>
          <w:b w:val="1"/>
          <w:bCs w:val="1"/>
          <w:color w:val="auto"/>
        </w:rPr>
        <w:t>OF THE SECURITIES EXCHANGE ACT OF 1934</w:t>
      </w:r>
    </w:p>
    <w:p>
      <w:pPr>
        <w:spacing w:after="0" w:line="187"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8"/>
          <w:szCs w:val="18"/>
          <w:b w:val="1"/>
          <w:bCs w:val="1"/>
          <w:color w:val="auto"/>
        </w:rPr>
        <w:t>For the month of May 2022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251460</wp:posOffset>
            </wp:positionV>
            <wp:extent cx="147447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383"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8"/>
          <w:szCs w:val="18"/>
          <w:b w:val="1"/>
          <w:bCs w:val="1"/>
          <w:color w:val="auto"/>
        </w:rPr>
        <w:t>Commission File Number: 001-38590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242570</wp:posOffset>
            </wp:positionV>
            <wp:extent cx="147447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40"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43"/>
          <w:szCs w:val="43"/>
          <w:b w:val="1"/>
          <w:bCs w:val="1"/>
          <w:color w:val="auto"/>
        </w:rPr>
        <w:t>CANGO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258445</wp:posOffset>
            </wp:positionV>
            <wp:extent cx="147447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95"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8"/>
          <w:szCs w:val="18"/>
          <w:b w:val="1"/>
          <w:bCs w:val="1"/>
          <w:color w:val="auto"/>
        </w:rPr>
        <w:t>8F, New Bund Oriental Plaza II</w:t>
      </w:r>
    </w:p>
    <w:p>
      <w:pPr>
        <w:spacing w:after="0" w:line="31"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8"/>
          <w:szCs w:val="18"/>
          <w:b w:val="1"/>
          <w:bCs w:val="1"/>
          <w:color w:val="auto"/>
        </w:rPr>
        <w:t>556 West Haiyang Road, Pudong New Area</w:t>
      </w:r>
    </w:p>
    <w:p>
      <w:pPr>
        <w:spacing w:after="0" w:line="9"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8"/>
          <w:szCs w:val="18"/>
          <w:b w:val="1"/>
          <w:bCs w:val="1"/>
          <w:color w:val="auto"/>
        </w:rPr>
        <w:t>Shanghai 200124</w:t>
      </w:r>
    </w:p>
    <w:p>
      <w:pPr>
        <w:spacing w:after="0" w:line="9"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8"/>
          <w:szCs w:val="18"/>
          <w:b w:val="1"/>
          <w:bCs w:val="1"/>
          <w:color w:val="auto"/>
        </w:rPr>
        <w:t>People’s Republic of China</w:t>
      </w:r>
    </w:p>
    <w:p>
      <w:pPr>
        <w:spacing w:after="0" w:line="2" w:lineRule="exact"/>
        <w:rPr>
          <w:sz w:val="24"/>
          <w:szCs w:val="24"/>
          <w:color w:val="auto"/>
        </w:rPr>
      </w:pPr>
    </w:p>
    <w:p>
      <w:pPr>
        <w:jc w:val="center"/>
        <w:ind w:right="-359"/>
        <w:spacing w:after="0"/>
        <w:rPr>
          <w:sz w:val="20"/>
          <w:szCs w:val="20"/>
          <w:color w:val="auto"/>
        </w:rPr>
      </w:pPr>
      <w:r>
        <w:rPr>
          <w:rFonts w:ascii="Times New Roman" w:cs="Times New Roman" w:eastAsia="Times New Roman" w:hAnsi="Times New Roman"/>
          <w:sz w:val="14"/>
          <w:szCs w:val="14"/>
          <w:b w:val="1"/>
          <w:b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227965</wp:posOffset>
            </wp:positionV>
            <wp:extent cx="147447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350"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Form 20-F or Form 40-F.</w:t>
      </w:r>
    </w:p>
    <w:p>
      <w:pPr>
        <w:spacing w:after="0" w:line="196" w:lineRule="exact"/>
        <w:rPr>
          <w:sz w:val="24"/>
          <w:szCs w:val="24"/>
          <w:color w:val="auto"/>
        </w:rPr>
      </w:pPr>
    </w:p>
    <w:p>
      <w:pPr>
        <w:ind w:left="4180"/>
        <w:spacing w:after="0" w:line="207" w:lineRule="exact"/>
        <w:tabs>
          <w:tab w:leader="none" w:pos="578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8"/>
          <w:szCs w:val="18"/>
          <w:color w:val="auto"/>
        </w:rPr>
        <w:t xml:space="preserve">Form 40-F </w:t>
      </w:r>
      <w:r>
        <w:rPr>
          <w:rFonts w:ascii="MS PGothic" w:cs="MS PGothic" w:eastAsia="MS PGothic" w:hAnsi="MS PGothic"/>
          <w:sz w:val="18"/>
          <w:szCs w:val="18"/>
          <w:color w:val="auto"/>
        </w:rPr>
        <w:t>☐</w:t>
      </w:r>
    </w:p>
    <w:p>
      <w:pPr>
        <w:spacing w:after="0" w:line="225"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Indicate by check mark if the registrant is submitting the Form 6-K in paper as permitted by Regulation S-T Rule 101(b)(1): </w:t>
      </w:r>
      <w:r>
        <w:rPr>
          <w:rFonts w:ascii="MS PGothic" w:cs="MS PGothic" w:eastAsia="MS PGothic" w:hAnsi="MS PGothic"/>
          <w:sz w:val="18"/>
          <w:szCs w:val="18"/>
          <w:color w:val="auto"/>
        </w:rPr>
        <w:t>☐</w:t>
      </w:r>
    </w:p>
    <w:p>
      <w:pPr>
        <w:spacing w:after="0" w:line="225"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Indicate by check mark if the registrant is submitting the Form 6-K in paper as permitted by Regulation S-T Rule 101(b)(7): </w:t>
      </w:r>
      <w:r>
        <w:rPr>
          <w:rFonts w:ascii="MS PGothic" w:cs="MS PGothic" w:eastAsia="MS PGothic" w:hAnsi="MS PGothic"/>
          <w:sz w:val="18"/>
          <w:szCs w:val="18"/>
          <w:color w:val="auto"/>
        </w:rPr>
        <w:t>☐</w:t>
      </w:r>
    </w:p>
    <w:p>
      <w:pPr>
        <w:spacing w:after="0" w:line="254" w:lineRule="exact"/>
        <w:rPr>
          <w:sz w:val="24"/>
          <w:szCs w:val="24"/>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Indicate by check mark whether by furnishing the information contained in this Form, the registrant is also thereby furnishing the information to the Commission pursuant to Rule 12g3-2(b) under the Securities Exchange Act of 1934.</w:t>
      </w:r>
    </w:p>
    <w:p>
      <w:pPr>
        <w:spacing w:after="0" w:line="133" w:lineRule="exact"/>
        <w:rPr>
          <w:sz w:val="24"/>
          <w:szCs w:val="24"/>
          <w:color w:val="auto"/>
        </w:rPr>
      </w:pPr>
    </w:p>
    <w:p>
      <w:pPr>
        <w:jc w:val="center"/>
        <w:ind w:right="-339"/>
        <w:spacing w:after="0" w:line="207" w:lineRule="exact"/>
        <w:tabs>
          <w:tab w:leader="none" w:pos="52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8"/>
          <w:szCs w:val="18"/>
          <w:color w:val="auto"/>
        </w:rPr>
        <w:t xml:space="preserve">No </w:t>
      </w:r>
      <w:r>
        <w:rPr>
          <w:rFonts w:ascii="MS PGothic" w:cs="MS PGothic" w:eastAsia="MS PGothic" w:hAnsi="MS PGothic"/>
          <w:sz w:val="18"/>
          <w:szCs w:val="18"/>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If “Yes” is marked, indicate below the file number assigned to the registrant in connection with Rule 12g3-2(b): 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163195</wp:posOffset>
            </wp:positionV>
            <wp:extent cx="699516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205740</wp:posOffset>
            </wp:positionV>
            <wp:extent cx="699516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95160" cy="8255"/>
                    </a:xfrm>
                    <a:prstGeom prst="rect">
                      <a:avLst/>
                    </a:prstGeom>
                    <a:noFill/>
                  </pic:spPr>
                </pic:pic>
              </a:graphicData>
            </a:graphic>
          </wp:anchor>
        </w:drawing>
      </w:r>
    </w:p>
    <w:p>
      <w:pPr>
        <w:sectPr>
          <w:pgSz w:w="11900" w:h="16838" w:orient="portrait"/>
          <w:cols w:equalWidth="0" w:num="1">
            <w:col w:w="10660"/>
          </w:cols>
          <w:pgMar w:left="440" w:top="376" w:right="799" w:bottom="1440" w:gutter="0" w:footer="0" w:header="0"/>
        </w:sectPr>
      </w:pPr>
    </w:p>
    <w:bookmarkStart w:id="1" w:name="page2"/>
    <w:bookmarkEnd w:id="1"/>
    <w:p>
      <w:pPr>
        <w:ind w:left="4600"/>
        <w:spacing w:after="0"/>
        <w:rPr>
          <w:sz w:val="20"/>
          <w:szCs w:val="20"/>
          <w:color w:val="auto"/>
        </w:rPr>
      </w:pPr>
      <w:r>
        <w:rPr>
          <w:rFonts w:ascii="Times New Roman" w:cs="Times New Roman" w:eastAsia="Times New Roman" w:hAnsi="Times New Roman"/>
          <w:sz w:val="17"/>
          <w:szCs w:val="17"/>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TABLE OF CONTENTS</w:t>
      </w: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Exhibit 99.1 — </w:t>
      </w:r>
      <w:r>
        <w:rPr>
          <w:rFonts w:ascii="Times New Roman" w:cs="Times New Roman" w:eastAsia="Times New Roman" w:hAnsi="Times New Roman"/>
          <w:sz w:val="18"/>
          <w:szCs w:val="18"/>
          <w:u w:val="single" w:color="auto"/>
          <w:color w:val="0000EE"/>
        </w:rPr>
        <w:t>Cango Inc. Announces a Change to Its Board of Directors</w:t>
      </w:r>
    </w:p>
    <w:p>
      <w:pPr>
        <w:spacing w:after="0" w:line="158" w:lineRule="exact"/>
        <w:rPr>
          <w:sz w:val="20"/>
          <w:szCs w:val="20"/>
          <w:color w:val="auto"/>
        </w:rPr>
      </w:pPr>
    </w:p>
    <w:p>
      <w:pPr>
        <w:ind w:left="5460"/>
        <w:spacing w:after="0"/>
        <w:rPr>
          <w:sz w:val="20"/>
          <w:szCs w:val="20"/>
          <w:color w:val="auto"/>
        </w:rPr>
      </w:pPr>
      <w:r>
        <w:rPr>
          <w:rFonts w:ascii="Times New Roman" w:cs="Times New Roman" w:eastAsia="Times New Roman" w:hAnsi="Times New Roman"/>
          <w:sz w:val="18"/>
          <w:szCs w:val="18"/>
          <w:color w:val="auto"/>
        </w:rPr>
        <w:t>2</w:t>
      </w:r>
    </w:p>
    <w:p>
      <w:pPr>
        <w:sectPr>
          <w:pgSz w:w="11900" w:h="16838" w:orient="portrait"/>
          <w:cols w:equalWidth="0" w:num="1">
            <w:col w:w="10019"/>
          </w:cols>
          <w:pgMar w:left="440" w:top="270" w:right="1440" w:bottom="1440" w:gutter="0" w:footer="0" w:header="0"/>
        </w:sectPr>
      </w:pPr>
    </w:p>
    <w:bookmarkStart w:id="2" w:name="page3"/>
    <w:bookmarkEnd w:id="2"/>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w:t>
      </w:r>
    </w:p>
    <w:p>
      <w:pPr>
        <w:spacing w:after="0" w:line="229" w:lineRule="exact"/>
        <w:rPr>
          <w:sz w:val="20"/>
          <w:szCs w:val="20"/>
          <w:color w:val="auto"/>
        </w:rPr>
      </w:pPr>
    </w:p>
    <w:p>
      <w:pPr>
        <w:ind w:firstLine="991"/>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189" w:lineRule="exact"/>
        <w:rPr>
          <w:sz w:val="20"/>
          <w:szCs w:val="20"/>
          <w:color w:val="auto"/>
        </w:rPr>
      </w:pPr>
    </w:p>
    <w:p>
      <w:pPr>
        <w:ind w:left="6620"/>
        <w:spacing w:after="0"/>
        <w:rPr>
          <w:sz w:val="20"/>
          <w:szCs w:val="20"/>
          <w:color w:val="auto"/>
        </w:rPr>
      </w:pPr>
      <w:r>
        <w:rPr>
          <w:rFonts w:ascii="Times New Roman" w:cs="Times New Roman" w:eastAsia="Times New Roman" w:hAnsi="Times New Roman"/>
          <w:sz w:val="18"/>
          <w:szCs w:val="18"/>
          <w:color w:val="auto"/>
        </w:rPr>
        <w:t>CANGO INC.</w:t>
      </w:r>
    </w:p>
    <w:p>
      <w:pPr>
        <w:spacing w:after="0" w:line="225" w:lineRule="exact"/>
        <w:rPr>
          <w:sz w:val="20"/>
          <w:szCs w:val="20"/>
          <w:color w:val="auto"/>
        </w:rPr>
      </w:pPr>
    </w:p>
    <w:p>
      <w:pPr>
        <w:ind w:left="6620"/>
        <w:spacing w:after="0"/>
        <w:tabs>
          <w:tab w:leader="none" w:pos="718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color w:val="auto"/>
        </w:rPr>
        <w:t>/s/ Yongyi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17145</wp:posOffset>
            </wp:positionV>
            <wp:extent cx="242570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Times New Roman" w:cs="Times New Roman" w:eastAsia="Times New Roman" w:hAnsi="Times New Roman"/>
          <w:sz w:val="18"/>
          <w:szCs w:val="18"/>
          <w:color w:val="auto"/>
        </w:rPr>
        <w:t>Name: Yongyi Zhang</w:t>
      </w:r>
    </w:p>
    <w:p>
      <w:pPr>
        <w:spacing w:after="0" w:line="27" w:lineRule="exact"/>
        <w:rPr>
          <w:sz w:val="20"/>
          <w:szCs w:val="20"/>
          <w:color w:val="auto"/>
        </w:rPr>
      </w:pPr>
    </w:p>
    <w:p>
      <w:pPr>
        <w:ind w:left="6620"/>
        <w:spacing w:after="0"/>
        <w:tabs>
          <w:tab w:leader="none" w:pos="7180" w:val="left"/>
        </w:tabs>
        <w:rPr>
          <w:sz w:val="20"/>
          <w:szCs w:val="20"/>
          <w:color w:val="auto"/>
        </w:rPr>
      </w:pPr>
      <w:r>
        <w:rPr>
          <w:rFonts w:ascii="Times New Roman" w:cs="Times New Roman" w:eastAsia="Times New Roman" w:hAnsi="Times New Roman"/>
          <w:sz w:val="18"/>
          <w:szCs w:val="18"/>
          <w:color w:val="auto"/>
        </w:rPr>
        <w:t>Title:</w:t>
        <w:tab/>
        <w:t>Chief Financial Officer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May 20, 2022</w:t>
      </w:r>
    </w:p>
    <w:p>
      <w:pPr>
        <w:spacing w:after="0" w:line="15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ectPr>
          <w:pgSz w:w="11900" w:h="16838" w:orient="portrait"/>
          <w:cols w:equalWidth="0" w:num="1">
            <w:col w:w="11000"/>
          </w:cols>
          <w:pgMar w:left="440" w:top="266" w:right="459" w:bottom="1440" w:gutter="0" w:footer="0" w:header="0"/>
        </w:sectPr>
      </w:pPr>
    </w:p>
    <w:bookmarkStart w:id="3" w:name="page4"/>
    <w:bookmarkEnd w:id="3"/>
    <w:p>
      <w:pPr>
        <w:jc w:val="right"/>
        <w:spacing w:after="0"/>
        <w:rPr>
          <w:sz w:val="20"/>
          <w:szCs w:val="20"/>
          <w:color w:val="auto"/>
        </w:rPr>
      </w:pPr>
      <w:r>
        <w:rPr>
          <w:rFonts w:ascii="Times New Roman" w:cs="Times New Roman" w:eastAsia="Times New Roman" w:hAnsi="Times New Roman"/>
          <w:sz w:val="18"/>
          <w:szCs w:val="18"/>
          <w:b w:val="1"/>
          <w:bCs w:val="1"/>
          <w:color w:val="auto"/>
        </w:rPr>
        <w:t>Exhibit 99.1</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Cango Inc. Announces a Change to Its Board of Directors</w:t>
      </w:r>
    </w:p>
    <w:p>
      <w:pPr>
        <w:spacing w:after="0" w:line="229" w:lineRule="exact"/>
        <w:rPr>
          <w:sz w:val="20"/>
          <w:szCs w:val="20"/>
          <w:color w:val="auto"/>
        </w:rPr>
      </w:pPr>
    </w:p>
    <w:p>
      <w:pPr>
        <w:ind w:right="160"/>
        <w:spacing w:after="0" w:line="266" w:lineRule="auto"/>
        <w:rPr>
          <w:sz w:val="20"/>
          <w:szCs w:val="20"/>
          <w:color w:val="auto"/>
        </w:rPr>
      </w:pPr>
      <w:r>
        <w:rPr>
          <w:rFonts w:ascii="Times New Roman" w:cs="Times New Roman" w:eastAsia="Times New Roman" w:hAnsi="Times New Roman"/>
          <w:sz w:val="18"/>
          <w:szCs w:val="18"/>
          <w:color w:val="auto"/>
        </w:rPr>
        <w:t>SHANGHAI, May 19, 2022/PRNewswire/ — Cango Inc. (NYSE: CANG) (“Cango” or the “Company”), a leading automotive transaction service platform in China, today announced that Mr. Xiaoyu Liu has tendered his resignation as a director of Cango for personal reasons. Mr. Liu’s resignation became effective on May 19, 2022. The Company would like to express its gratitude for services provided by Mr. Liu.</w:t>
      </w:r>
    </w:p>
    <w:p>
      <w:pPr>
        <w:spacing w:after="0" w:line="2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About Cango Inc.</w:t>
      </w:r>
    </w:p>
    <w:p>
      <w:pPr>
        <w:spacing w:after="0" w:line="121" w:lineRule="exact"/>
        <w:rPr>
          <w:sz w:val="20"/>
          <w:szCs w:val="20"/>
          <w:color w:val="auto"/>
        </w:rPr>
      </w:pPr>
    </w:p>
    <w:p>
      <w:pPr>
        <w:ind w:right="20"/>
        <w:spacing w:after="0" w:line="255" w:lineRule="auto"/>
        <w:rPr>
          <w:sz w:val="20"/>
          <w:szCs w:val="20"/>
          <w:color w:val="auto"/>
        </w:rPr>
      </w:pPr>
      <w:r>
        <w:rPr>
          <w:rFonts w:ascii="Times New Roman" w:cs="Times New Roman" w:eastAsia="Times New Roman" w:hAnsi="Times New Roman"/>
          <w:sz w:val="18"/>
          <w:szCs w:val="18"/>
          <w:color w:val="auto"/>
        </w:rPr>
        <w:t xml:space="preserve">Cango Inc. (NYSE: CANG) is a leading automotive transaction service platform in China connecting dealers, financial institutions, car buyers, and other industry participants. Founded in 2010 by a group of pioneers in China’s automotive finance industry, the Company is headquartered in Shanghai and engages car buyers through a nationwide dealer network. The Company’s services primarily consist of automotive financing facilitation, car trading transactions, and after-market services facilitation. By utilizing its competitive advantages in technology, data insights, and cloud-based infrastructure, Cango is able to connect its platform participants while bringing them a premium user experience. Cango’s platform model puts it in a unique position to add value for its platform participants and business partners as the automotive and mobility markets in China continue to grow and evolve. For more information, please visit: </w:t>
      </w:r>
      <w:r>
        <w:rPr>
          <w:rFonts w:ascii="Times New Roman" w:cs="Times New Roman" w:eastAsia="Times New Roman" w:hAnsi="Times New Roman"/>
          <w:sz w:val="18"/>
          <w:szCs w:val="18"/>
          <w:u w:val="single" w:color="auto"/>
          <w:color w:val="auto"/>
        </w:rPr>
        <w:t>www.cangoonline.com</w:t>
      </w:r>
      <w:r>
        <w:rPr>
          <w:rFonts w:ascii="Times New Roman" w:cs="Times New Roman" w:eastAsia="Times New Roman" w:hAnsi="Times New Roman"/>
          <w:sz w:val="18"/>
          <w:szCs w:val="18"/>
          <w:color w:val="auto"/>
        </w:rPr>
        <w:t>.</w:t>
      </w:r>
    </w:p>
    <w:p>
      <w:pPr>
        <w:spacing w:after="0" w:line="29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Safe Harbor Statement</w:t>
      </w:r>
    </w:p>
    <w:p>
      <w:pPr>
        <w:spacing w:after="0" w:line="121" w:lineRule="exact"/>
        <w:rPr>
          <w:sz w:val="20"/>
          <w:szCs w:val="20"/>
          <w:color w:val="auto"/>
        </w:rPr>
      </w:pPr>
    </w:p>
    <w:p>
      <w:pPr>
        <w:ind w:right="60"/>
        <w:spacing w:after="0" w:line="252" w:lineRule="auto"/>
        <w:rPr>
          <w:sz w:val="20"/>
          <w:szCs w:val="20"/>
          <w:color w:val="auto"/>
        </w:rPr>
      </w:pPr>
      <w:r>
        <w:rPr>
          <w:rFonts w:ascii="Times New Roman" w:cs="Times New Roman" w:eastAsia="Times New Roman" w:hAnsi="Times New Roman"/>
          <w:sz w:val="18"/>
          <w:szCs w:val="18"/>
          <w:color w:val="auto"/>
        </w:rPr>
        <w:t>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w:t>
      </w:r>
    </w:p>
    <w:p>
      <w:pPr>
        <w:spacing w:after="0" w:line="30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Investor Relations Contact</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Yihe Liu</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Cango Inc.</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Tel: +86 21 3183 5088 ext.5581</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Email: </w:t>
      </w:r>
      <w:r>
        <w:rPr>
          <w:rFonts w:ascii="Times New Roman" w:cs="Times New Roman" w:eastAsia="Times New Roman" w:hAnsi="Times New Roman"/>
          <w:sz w:val="18"/>
          <w:szCs w:val="18"/>
          <w:u w:val="single" w:color="auto"/>
          <w:color w:val="auto"/>
        </w:rPr>
        <w:t>ir@cangoonline.com</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Twitter: </w:t>
      </w:r>
      <w:r>
        <w:rPr>
          <w:rFonts w:ascii="Times New Roman" w:cs="Times New Roman" w:eastAsia="Times New Roman" w:hAnsi="Times New Roman"/>
          <w:sz w:val="18"/>
          <w:szCs w:val="18"/>
          <w:u w:val="single" w:color="auto"/>
          <w:color w:val="auto"/>
        </w:rPr>
        <w:t>https://twitter.com/Cango_Group</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Emilie Wu</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Piacente Group, Inc.</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Tel: +86 21 6039 8363</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Email: </w:t>
      </w:r>
      <w:r>
        <w:rPr>
          <w:rFonts w:ascii="Times New Roman" w:cs="Times New Roman" w:eastAsia="Times New Roman" w:hAnsi="Times New Roman"/>
          <w:sz w:val="18"/>
          <w:szCs w:val="18"/>
          <w:u w:val="single" w:color="auto"/>
          <w:color w:val="auto"/>
        </w:rPr>
        <w:t>ir@cangoonline.com</w:t>
      </w:r>
    </w:p>
    <w:sectPr>
      <w:pgSz w:w="11900" w:h="16838" w:orient="portrait"/>
      <w:cols w:equalWidth="0" w:num="1">
        <w:col w:w="11020"/>
      </w:cols>
      <w:pgMar w:left="440" w:top="117" w:right="4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2022-05-20T15:06:14Z</dcterms:created>
  <dcterms:modified xsi:type="dcterms:W3CDTF">2022-05-20T15:06:14Z</dcterms:modified>
</cp:coreProperties>
</file>